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CD" w:rsidRPr="008530E9" w:rsidRDefault="008772CD" w:rsidP="001375B4">
      <w:pPr>
        <w:pStyle w:val="Heading1"/>
        <w:keepNext w:val="0"/>
        <w:widowControl w:val="0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УДОБРЕНИЙ</w:t>
      </w:r>
    </w:p>
    <w:p w:rsidR="008772CD" w:rsidRDefault="008772CD" w:rsidP="007435D7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</w:p>
    <w:p w:rsidR="008772CD" w:rsidRDefault="008772CD" w:rsidP="008530E9">
      <w:pPr>
        <w:pStyle w:val="a4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План</w:t>
      </w:r>
      <w:r>
        <w:rPr>
          <w:rFonts w:ascii="Times New Roman" w:hAnsi="Times New Roman"/>
          <w:sz w:val="24"/>
          <w:szCs w:val="24"/>
        </w:rPr>
        <w:t xml:space="preserve"> занятия</w:t>
      </w:r>
      <w:r w:rsidRPr="00346E43">
        <w:rPr>
          <w:rFonts w:ascii="Times New Roman" w:hAnsi="Times New Roman"/>
          <w:sz w:val="24"/>
          <w:szCs w:val="24"/>
        </w:rPr>
        <w:t>:</w:t>
      </w:r>
    </w:p>
    <w:p w:rsidR="008772CD" w:rsidRPr="00346E43" w:rsidRDefault="008772CD" w:rsidP="007435D7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bookmarkStart w:id="0" w:name="_Toc68925299"/>
      <w:r w:rsidRPr="00346E43">
        <w:rPr>
          <w:rFonts w:ascii="Times New Roman" w:hAnsi="Times New Roman"/>
          <w:sz w:val="24"/>
          <w:szCs w:val="24"/>
        </w:rPr>
        <w:t xml:space="preserve">1. </w:t>
      </w:r>
      <w:bookmarkStart w:id="1" w:name="id31"/>
      <w:bookmarkEnd w:id="0"/>
      <w:r w:rsidRPr="008530E9">
        <w:rPr>
          <w:rFonts w:ascii="Times New Roman" w:hAnsi="Times New Roman"/>
          <w:sz w:val="24"/>
          <w:szCs w:val="24"/>
        </w:rPr>
        <w:fldChar w:fldCharType="begin"/>
      </w:r>
      <w:r w:rsidRPr="008530E9">
        <w:rPr>
          <w:rFonts w:ascii="Times New Roman" w:hAnsi="Times New Roman"/>
          <w:sz w:val="24"/>
          <w:szCs w:val="24"/>
        </w:rPr>
        <w:instrText xml:space="preserve"> HYPERLINK "http://greenfuture.ru/profile/Homa/%D0%A1%D0%BC%D0%B5%D0%B6%D0%BD%D1%8B%D0%B5%20%D0%BD%D0%B0%D1%83%D0%BA%D0%B8/%D0%9C%D0%B8%D0%BA%D1%80%D0%BE%D1%8D%D0%BB%D0%B5%D0%BC%D0%B5%D0%BD%D1%82%D1%8B%20%D0%B2%20%D0%BF%D0%BE%D1%87%D0%B2%D0%B0%D1%85%20%D0%B8%20%D0%B6%D0%B8%D0%B2%D1%8B%D1%85%20%D0%BE%D1%80%D0%B3%D0%B0%D0%BD%D0%B8%D0%B7%D0%BC%D0%B0%D1%85/" \l "id4" </w:instrText>
      </w:r>
      <w:r w:rsidRPr="009379BC">
        <w:rPr>
          <w:rFonts w:ascii="Times New Roman" w:hAnsi="Times New Roman"/>
          <w:sz w:val="24"/>
          <w:szCs w:val="24"/>
        </w:rPr>
      </w:r>
      <w:r w:rsidRPr="008530E9">
        <w:rPr>
          <w:rFonts w:ascii="Times New Roman" w:hAnsi="Times New Roman"/>
          <w:sz w:val="24"/>
          <w:szCs w:val="24"/>
        </w:rPr>
        <w:fldChar w:fldCharType="separate"/>
      </w:r>
      <w:r w:rsidRPr="008530E9">
        <w:rPr>
          <w:rFonts w:ascii="Times New Roman" w:hAnsi="Times New Roman"/>
          <w:sz w:val="24"/>
          <w:szCs w:val="24"/>
        </w:rPr>
        <w:t>Удобрения,</w:t>
      </w:r>
      <w:r w:rsidRPr="008530E9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8530E9">
        <w:rPr>
          <w:rFonts w:ascii="Times New Roman" w:hAnsi="Times New Roman"/>
          <w:sz w:val="24"/>
          <w:szCs w:val="24"/>
        </w:rPr>
        <w:t xml:space="preserve"> их свойства и применение</w:t>
      </w:r>
      <w:r w:rsidRPr="00346E43">
        <w:rPr>
          <w:rFonts w:ascii="Times New Roman" w:hAnsi="Times New Roman"/>
          <w:sz w:val="24"/>
          <w:szCs w:val="24"/>
        </w:rPr>
        <w:t>.</w:t>
      </w:r>
    </w:p>
    <w:p w:rsidR="008772CD" w:rsidRPr="008530E9" w:rsidRDefault="008772CD" w:rsidP="008530E9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 xml:space="preserve">2. </w:t>
      </w:r>
      <w:bookmarkStart w:id="2" w:name="id32"/>
      <w:r w:rsidRPr="008530E9">
        <w:rPr>
          <w:rFonts w:ascii="Times New Roman" w:hAnsi="Times New Roman"/>
          <w:sz w:val="24"/>
          <w:szCs w:val="24"/>
        </w:rPr>
        <w:fldChar w:fldCharType="begin"/>
      </w:r>
      <w:r w:rsidRPr="008530E9">
        <w:rPr>
          <w:rFonts w:ascii="Times New Roman" w:hAnsi="Times New Roman"/>
          <w:sz w:val="24"/>
          <w:szCs w:val="24"/>
        </w:rPr>
        <w:instrText xml:space="preserve"> HYPERLINK "http://greenfuture.ru/profile/Homa/%D0%A1%D0%BC%D0%B5%D0%B6%D0%BD%D1%8B%D0%B5%20%D0%BD%D0%B0%D1%83%D0%BA%D0%B8/%D0%9C%D0%B8%D0%BA%D1%80%D0%BE%D1%8D%D0%BB%D0%B5%D0%BC%D0%B5%D0%BD%D1%82%D1%8B%20%D0%B2%20%D0%BF%D0%BE%D1%87%D0%B2%D0%B0%D1%85%20%D0%B8%20%D0%B6%D0%B8%D0%B2%D1%8B%D1%85%20%D0%BE%D1%80%D0%B3%D0%B0%D0%BD%D0%B8%D0%B7%D0%BC%D0%B0%D1%85/" \l "id6" </w:instrText>
      </w:r>
      <w:r w:rsidRPr="009379BC">
        <w:rPr>
          <w:rFonts w:ascii="Times New Roman" w:hAnsi="Times New Roman"/>
          <w:sz w:val="24"/>
          <w:szCs w:val="24"/>
        </w:rPr>
      </w:r>
      <w:r w:rsidRPr="008530E9">
        <w:rPr>
          <w:rFonts w:ascii="Times New Roman" w:hAnsi="Times New Roman"/>
          <w:sz w:val="24"/>
          <w:szCs w:val="24"/>
        </w:rPr>
        <w:fldChar w:fldCharType="separate"/>
      </w:r>
      <w:r w:rsidRPr="008530E9">
        <w:rPr>
          <w:rFonts w:ascii="Times New Roman" w:hAnsi="Times New Roman"/>
          <w:sz w:val="24"/>
          <w:szCs w:val="24"/>
        </w:rPr>
        <w:t>Общие</w:t>
      </w:r>
      <w:r w:rsidRPr="008530E9">
        <w:rPr>
          <w:rFonts w:ascii="Times New Roman" w:hAnsi="Times New Roman"/>
          <w:sz w:val="24"/>
          <w:szCs w:val="24"/>
        </w:rPr>
        <w:fldChar w:fldCharType="end"/>
      </w:r>
      <w:bookmarkEnd w:id="2"/>
      <w:r w:rsidRPr="008530E9">
        <w:rPr>
          <w:rFonts w:ascii="Times New Roman" w:hAnsi="Times New Roman"/>
          <w:sz w:val="24"/>
          <w:szCs w:val="24"/>
        </w:rPr>
        <w:t xml:space="preserve"> свойства минеральных удобрений.</w:t>
      </w:r>
    </w:p>
    <w:p w:rsidR="008772CD" w:rsidRPr="008530E9" w:rsidRDefault="008772CD" w:rsidP="008530E9">
      <w:pPr>
        <w:pStyle w:val="a4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 xml:space="preserve">3. </w:t>
      </w:r>
      <w:bookmarkStart w:id="3" w:name="id33"/>
      <w:r w:rsidRPr="008530E9">
        <w:rPr>
          <w:rFonts w:ascii="Times New Roman" w:hAnsi="Times New Roman"/>
          <w:sz w:val="24"/>
          <w:szCs w:val="24"/>
        </w:rPr>
        <w:fldChar w:fldCharType="begin"/>
      </w:r>
      <w:r w:rsidRPr="008530E9">
        <w:rPr>
          <w:rFonts w:ascii="Times New Roman" w:hAnsi="Times New Roman"/>
          <w:sz w:val="24"/>
          <w:szCs w:val="24"/>
        </w:rPr>
        <w:instrText xml:space="preserve"> HYPERLINK "http://greenfuture.ru/profile/Homa/%D0%A1%D0%BC%D0%B5%D0%B6%D0%BD%D1%8B%D0%B5%20%D0%BD%D0%B0%D1%83%D0%BA%D0%B8/%D0%9C%D0%B8%D0%BA%D1%80%D0%BE%D1%8D%D0%BB%D0%B5%D0%BC%D0%B5%D0%BD%D1%82%D1%8B%20%D0%B2%20%D0%BF%D0%BE%D1%87%D0%B2%D0%B0%D1%85%20%D0%B8%20%D0%B6%D0%B8%D0%B2%D1%8B%D1%85%20%D0%BE%D1%80%D0%B3%D0%B0%D0%BD%D0%B8%D0%B7%D0%BC%D0%B0%D1%85/" \l "id8" </w:instrText>
      </w:r>
      <w:r w:rsidRPr="009379BC">
        <w:rPr>
          <w:rFonts w:ascii="Times New Roman" w:hAnsi="Times New Roman"/>
          <w:sz w:val="24"/>
          <w:szCs w:val="24"/>
        </w:rPr>
      </w:r>
      <w:r w:rsidRPr="008530E9">
        <w:rPr>
          <w:rFonts w:ascii="Times New Roman" w:hAnsi="Times New Roman"/>
          <w:sz w:val="24"/>
          <w:szCs w:val="24"/>
        </w:rPr>
        <w:fldChar w:fldCharType="separate"/>
      </w:r>
      <w:r w:rsidRPr="008530E9">
        <w:rPr>
          <w:rFonts w:ascii="Times New Roman" w:hAnsi="Times New Roman"/>
          <w:sz w:val="24"/>
          <w:szCs w:val="24"/>
        </w:rPr>
        <w:t>Классификация</w:t>
      </w:r>
      <w:r w:rsidRPr="008530E9">
        <w:rPr>
          <w:rFonts w:ascii="Times New Roman" w:hAnsi="Times New Roman"/>
          <w:sz w:val="24"/>
          <w:szCs w:val="24"/>
        </w:rPr>
        <w:fldChar w:fldCharType="end"/>
      </w:r>
      <w:bookmarkEnd w:id="3"/>
      <w:r w:rsidRPr="008530E9">
        <w:rPr>
          <w:rFonts w:ascii="Times New Roman" w:hAnsi="Times New Roman"/>
          <w:sz w:val="24"/>
          <w:szCs w:val="24"/>
        </w:rPr>
        <w:t xml:space="preserve"> удобрений.</w:t>
      </w:r>
    </w:p>
    <w:p w:rsidR="008772CD" w:rsidRDefault="008772CD" w:rsidP="007435D7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b/>
          <w:sz w:val="24"/>
          <w:szCs w:val="24"/>
        </w:rPr>
      </w:pPr>
    </w:p>
    <w:p w:rsidR="008772CD" w:rsidRPr="00346E43" w:rsidRDefault="008772CD" w:rsidP="007435D7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b/>
          <w:sz w:val="24"/>
          <w:szCs w:val="24"/>
        </w:rPr>
        <w:t xml:space="preserve">1. </w:t>
      </w:r>
      <w:hyperlink r:id="rId5" w:anchor="id4" w:history="1">
        <w:r w:rsidRPr="00346E43">
          <w:rPr>
            <w:rFonts w:ascii="Times New Roman" w:hAnsi="Times New Roman"/>
            <w:b/>
            <w:sz w:val="28"/>
            <w:szCs w:val="28"/>
          </w:rPr>
          <w:t>Удобрения,</w:t>
        </w:r>
      </w:hyperlink>
      <w:r w:rsidRPr="00346E43">
        <w:rPr>
          <w:rFonts w:ascii="Times New Roman" w:hAnsi="Times New Roman"/>
          <w:b/>
          <w:sz w:val="28"/>
          <w:szCs w:val="28"/>
        </w:rPr>
        <w:t xml:space="preserve"> их свойства и применение. 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bookmarkStart w:id="4" w:name="id6"/>
      <w:r w:rsidRPr="00346E43">
        <w:rPr>
          <w:rFonts w:ascii="Times New Roman" w:hAnsi="Times New Roman"/>
          <w:sz w:val="24"/>
          <w:szCs w:val="24"/>
        </w:rPr>
        <w:t>Удобрения – это минеральные (соли, щелочи, кислоты) или органические вещества растительного и животного происхожде</w:t>
      </w:r>
      <w:r w:rsidRPr="00346E43">
        <w:rPr>
          <w:rFonts w:ascii="Times New Roman" w:hAnsi="Times New Roman"/>
          <w:sz w:val="24"/>
          <w:szCs w:val="24"/>
        </w:rPr>
        <w:softHyphen/>
        <w:t>ния, вносимые в почву или на растения для улучшения их питания с целью повышения урожайности сельскохозяйственных культур и улучшения качества продукции растениеводства.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Применение удобрений необходимо для устранения недостатка того или иного элемента питания растений. Внесение их возникает в случае, если биологическая потребность растений в питании не обеспечивается содержанием в почве доступных форм питательных веществ.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Для рационального применения удобрений, организации правильного хранения, уменьшения потерь при транспортировке, необходимо знать их основные физические, химические и механические свойства, важнейшие из которых следующие: растворимость в воде, гигроскопичность, слеживаемость, предельная влагоемкость, рассеиваемость, гранулометрический состав, прочность гранул.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Для предотвращения порчи удобрений при хранении необходимо учитывать их насыпную плотность, угол естественного откоса, а также способность к расслаиванию (смешанные удобрения), вязкость. При организации хранения следует знать и такие характеристики, как огне- и взрывоопасность, а также химические свойства – содержание свободных кислот, упругость паров (жидкие удобрения), способность к ретроградации, выделение аммиака.</w:t>
      </w:r>
    </w:p>
    <w:p w:rsidR="008772CD" w:rsidRPr="00346E43" w:rsidRDefault="008772CD" w:rsidP="007435D7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b/>
          <w:sz w:val="24"/>
          <w:szCs w:val="24"/>
        </w:rPr>
        <w:t xml:space="preserve">2. </w:t>
      </w:r>
      <w:bookmarkEnd w:id="4"/>
      <w:r w:rsidRPr="00346E43">
        <w:rPr>
          <w:rFonts w:ascii="Times New Roman" w:hAnsi="Times New Roman"/>
          <w:b/>
          <w:sz w:val="28"/>
          <w:szCs w:val="28"/>
        </w:rPr>
        <w:fldChar w:fldCharType="begin"/>
      </w:r>
      <w:r w:rsidRPr="00346E43">
        <w:rPr>
          <w:rFonts w:ascii="Times New Roman" w:hAnsi="Times New Roman"/>
          <w:b/>
          <w:sz w:val="28"/>
          <w:szCs w:val="28"/>
        </w:rPr>
        <w:instrText xml:space="preserve"> HYPERLINK "http://greenfuture.ru/profile/Homa/%D0%A1%D0%BC%D0%B5%D0%B6%D0%BD%D1%8B%D0%B5%20%D0%BD%D0%B0%D1%83%D0%BA%D0%B8/%D0%9C%D0%B8%D0%BA%D1%80%D0%BE%D1%8D%D0%BB%D0%B5%D0%BC%D0%B5%D0%BD%D1%82%D1%8B%20%D0%B2%20%D0%BF%D0%BE%D1%87%D0%B2%D0%B0%D1%85%20%D0%B8%20%D0%B6%D0%B8%D0%B2%D1%8B%D1%85%20%D0%BE%D1%80%D0%B3%D0%B0%D0%BD%D0%B8%D0%B7%D0%BC%D0%B0%D1%85/" \l "id6" </w:instrText>
      </w:r>
      <w:r w:rsidRPr="009379BC">
        <w:rPr>
          <w:rFonts w:ascii="Times New Roman" w:hAnsi="Times New Roman"/>
          <w:b/>
          <w:sz w:val="28"/>
          <w:szCs w:val="28"/>
        </w:rPr>
      </w:r>
      <w:r w:rsidRPr="00346E43">
        <w:rPr>
          <w:rFonts w:ascii="Times New Roman" w:hAnsi="Times New Roman"/>
          <w:b/>
          <w:sz w:val="28"/>
          <w:szCs w:val="28"/>
        </w:rPr>
        <w:fldChar w:fldCharType="separate"/>
      </w:r>
      <w:r w:rsidRPr="00346E43">
        <w:rPr>
          <w:rFonts w:ascii="Times New Roman" w:hAnsi="Times New Roman"/>
          <w:b/>
          <w:sz w:val="28"/>
          <w:szCs w:val="28"/>
        </w:rPr>
        <w:t>Общие</w:t>
      </w:r>
      <w:r w:rsidRPr="00346E43">
        <w:rPr>
          <w:rFonts w:ascii="Times New Roman" w:hAnsi="Times New Roman"/>
          <w:b/>
          <w:sz w:val="28"/>
          <w:szCs w:val="28"/>
        </w:rPr>
        <w:fldChar w:fldCharType="end"/>
      </w:r>
      <w:r w:rsidRPr="00346E43">
        <w:rPr>
          <w:rFonts w:ascii="Times New Roman" w:hAnsi="Times New Roman"/>
          <w:b/>
          <w:sz w:val="28"/>
          <w:szCs w:val="28"/>
        </w:rPr>
        <w:t xml:space="preserve"> свойства минеральных удобрений.</w:t>
      </w:r>
      <w:r w:rsidRPr="00346E43">
        <w:rPr>
          <w:rFonts w:ascii="Times New Roman" w:hAnsi="Times New Roman"/>
          <w:sz w:val="24"/>
          <w:szCs w:val="24"/>
        </w:rPr>
        <w:t xml:space="preserve"> 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bookmarkStart w:id="5" w:name="id8"/>
      <w:r w:rsidRPr="00346E43">
        <w:rPr>
          <w:rFonts w:ascii="Times New Roman" w:hAnsi="Times New Roman"/>
          <w:sz w:val="24"/>
          <w:szCs w:val="24"/>
        </w:rPr>
        <w:t xml:space="preserve">Влажность должна соответствовать требованиям ГОСТа и техническим условиям: аммиачных азотных удобрений не </w:t>
      </w:r>
      <w:r w:rsidRPr="00346E43">
        <w:rPr>
          <w:rFonts w:ascii="Times New Roman" w:hAnsi="Times New Roman"/>
          <w:sz w:val="24"/>
          <w:szCs w:val="24"/>
        </w:rPr>
        <w:sym w:font="Symbol" w:char="F03E"/>
      </w:r>
      <w:r w:rsidRPr="00346E43">
        <w:rPr>
          <w:rFonts w:ascii="Times New Roman" w:hAnsi="Times New Roman"/>
          <w:sz w:val="24"/>
          <w:szCs w:val="24"/>
        </w:rPr>
        <w:t>0,2-0,6%, аммиачно-нитратных и амидных – 0,2-0,3%, нитратных – 1,0-2,0%; содержание влаги в кальциевой селитра не должно превышать 14%.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Максимально допустимая влажность водорастворимых фосфор</w:t>
      </w:r>
      <w:r w:rsidRPr="00346E43">
        <w:rPr>
          <w:rFonts w:ascii="Times New Roman" w:hAnsi="Times New Roman"/>
          <w:sz w:val="24"/>
          <w:szCs w:val="24"/>
        </w:rPr>
        <w:softHyphen/>
        <w:t>ных удобрений составляет 3-5%, за исключением суперфосфата простого порошковидного, получаемого из апатитового концентрата – его влажность не должна превышать 12%; для полурастворимых и нерастворимых – содержание влаги колеблется от 1,5-2,0 до 8% (преципитат); для калийных удобрений – от 1-4 до 5-6%.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 xml:space="preserve">Влажность известняковой муки – 1,5-4%, фосфогипса первого сорта – не </w:t>
      </w:r>
      <w:r w:rsidRPr="00346E43">
        <w:rPr>
          <w:rFonts w:ascii="Times New Roman" w:hAnsi="Times New Roman"/>
          <w:sz w:val="24"/>
          <w:szCs w:val="24"/>
        </w:rPr>
        <w:sym w:font="Symbol" w:char="F03E"/>
      </w:r>
      <w:r w:rsidRPr="00346E43">
        <w:rPr>
          <w:rFonts w:ascii="Times New Roman" w:hAnsi="Times New Roman"/>
          <w:sz w:val="24"/>
          <w:szCs w:val="24"/>
        </w:rPr>
        <w:t>5,0%, шлаков металлургических производств – 2,0%.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Отклонение приведенных показателей от стандарта приведет к значительным изменениям физико-химических свойств минеральных удобрений и их порче.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Гигроскопичность или поглощение влаги из воздуха характерна для минеральных удобрений. Она оценивается по 10-ти бальной шкале: сильногигроскопичные (балл) – кальциевая селитра – до 9,5, аммиачная селитра гранулированная – 9,3, мочевина – 3,6; гранулированный суперфосфат двойной и простой порошковид</w:t>
      </w:r>
      <w:r w:rsidRPr="00346E43">
        <w:rPr>
          <w:rFonts w:ascii="Times New Roman" w:hAnsi="Times New Roman"/>
          <w:sz w:val="24"/>
          <w:szCs w:val="24"/>
        </w:rPr>
        <w:softHyphen/>
        <w:t>ный – соответственно – 4,7 и 5,9.Калийным удобрениям присвоен балл гигроскопичности 0,2-0 (K2SO4),3,2-4,4 – хлористый калий.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При высокой гигроскопичности удобрения слеживаются, гранулы теряют прочность, ухудшается сыпучесть и рассеиваемость туков. Условия хранения, транспортировка удобрений, их упаковка определяются гигроскопичностью: бестарная транспортировка и хранение допустимы только для слабогигроскопичных удобрений с баллом 3 и ниже. При балле гигроскопичности 6-4 удобрения затариваются в многослойные влагонепроницаемые крафт (бумажные) или полиэтиленовые мешки. Для сильногигроскопичных удобрений (балл 10-7) необходима совершенно герметичная тара (полиэтиленовые мешки).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Влагоемкость определяет механический рассев, соответствует максимальной влажности туков, сохраняющих способность удовлетворительно рассеиваться разбрасывателями удобрений (сеялки, центробежные разбрасыватели, самолеты, вертолеты).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Слеживаемость зависит от указанных выше свойств удобрений; гранулометрического состава, условий и продолжительности хранения. Степень слеживаемости оценивается по 7-бальной шкале. К сильно слеживающимся удобрениям относится карбамид (фракции 0,2-</w:t>
      </w:r>
      <w:smartTag w:uri="urn:schemas-microsoft-com:office:smarttags" w:element="metricconverter">
        <w:smartTagPr>
          <w:attr w:name="ProductID" w:val="1 мм"/>
        </w:smartTagPr>
        <w:r w:rsidRPr="00346E43">
          <w:rPr>
            <w:rFonts w:ascii="Times New Roman" w:hAnsi="Times New Roman"/>
            <w:sz w:val="24"/>
            <w:szCs w:val="24"/>
          </w:rPr>
          <w:t>1 мм</w:t>
        </w:r>
      </w:smartTag>
      <w:r w:rsidRPr="00346E43">
        <w:rPr>
          <w:rFonts w:ascii="Times New Roman" w:hAnsi="Times New Roman"/>
          <w:sz w:val="24"/>
          <w:szCs w:val="24"/>
        </w:rPr>
        <w:t>), простой порошковидный суперфосфат – 7 степень, суперфосфат гранулированный аммонизированный, калий хлористый мелкокристаллический и сильвинит – 6 степень.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Карбамиду (фракция 1-</w:t>
      </w:r>
      <w:smartTag w:uri="urn:schemas-microsoft-com:office:smarttags" w:element="metricconverter">
        <w:smartTagPr>
          <w:attr w:name="ProductID" w:val="3 мм"/>
        </w:smartTagPr>
        <w:r w:rsidRPr="00346E43">
          <w:rPr>
            <w:rFonts w:ascii="Times New Roman" w:hAnsi="Times New Roman"/>
            <w:sz w:val="24"/>
            <w:szCs w:val="24"/>
          </w:rPr>
          <w:t>3 мм</w:t>
        </w:r>
      </w:smartTag>
      <w:r w:rsidRPr="00346E43">
        <w:rPr>
          <w:rFonts w:ascii="Times New Roman" w:hAnsi="Times New Roman"/>
          <w:sz w:val="24"/>
          <w:szCs w:val="24"/>
        </w:rPr>
        <w:t>), (NH4)2SO4, NH4NO3 присвоены соответственно следующие степени: I-II, II-III, II-IV. Не слеживаются сульфат калия, калимагнезия, хлористый калий – электролит (I степень). Производство крупнокристаллических, брикетированных и гранулированных удобрений, хранение и перевозка их в герметической таре способствует уменьшению слеживаемости удобрений.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Рассеиваемость определяется, прежде всего, гранулометрическим составом, сыпучестью (подвижностью) и прочностью гранул. Качественная оценка рассеиваемости проводится по 12-бальной системе; чем качественнее рассеивае</w:t>
      </w:r>
      <w:r w:rsidRPr="00346E43">
        <w:rPr>
          <w:rFonts w:ascii="Times New Roman" w:hAnsi="Times New Roman"/>
          <w:sz w:val="24"/>
          <w:szCs w:val="24"/>
        </w:rPr>
        <w:softHyphen/>
        <w:t>мость туков, тем выше балл. Равномерность распределения удобрений по площади поля зависит как от сыпучести туков, так и кинематики разбрасывающих устройств. Для этого используют высокопроизводительные разбрасыватели различных конструкций.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Гранулометрический состав – размер гранул, брикетов, тонина помола и соотношение фракций в удобрениях оказывает существенное влияние на слеживаемость и рассеиваемость туков. Удобрения однородного гранулометрического состава равномерно распределяются по ширине захвата центробежным разбрасывате</w:t>
      </w:r>
      <w:r w:rsidRPr="00346E43">
        <w:rPr>
          <w:rFonts w:ascii="Times New Roman" w:hAnsi="Times New Roman"/>
          <w:sz w:val="24"/>
          <w:szCs w:val="24"/>
        </w:rPr>
        <w:softHyphen/>
        <w:t>лем при равномерном поступлении туков на дозирующее устройство.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Прочность гранул зависит от влажности, размера и формы частиц, плотности упаковки удобрений. Сохранность грануло</w:t>
      </w:r>
      <w:r w:rsidRPr="00346E43">
        <w:rPr>
          <w:rFonts w:ascii="Times New Roman" w:hAnsi="Times New Roman"/>
          <w:sz w:val="24"/>
          <w:szCs w:val="24"/>
        </w:rPr>
        <w:softHyphen/>
        <w:t>метрического состава при хранении, транспортировке и внесении удобрений в почву определяют физические свойства туков, их сыпучесть, слеживаемость. Прочность характеризуется механи</w:t>
      </w:r>
      <w:r w:rsidRPr="00346E43">
        <w:rPr>
          <w:rFonts w:ascii="Times New Roman" w:hAnsi="Times New Roman"/>
          <w:sz w:val="24"/>
          <w:szCs w:val="24"/>
        </w:rPr>
        <w:softHyphen/>
        <w:t>ческой устойчивостью на раздавливание (кгс/см2) и на истирание (%), которые определяются на специальных приборах.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Угол естественного откоса (покоя) образуется горизонтальной плоскостью пола хранилища с плоскостью удобрения при хранении насыпью. Этот показатель учитывается при проектировании складов и хранении удобрений, проектировании бункеров, транспортных средств. Угол естественного откоса является также косвенным показателем рассеиваемости удобрений.</w:t>
      </w:r>
    </w:p>
    <w:p w:rsidR="008772CD" w:rsidRPr="00346E43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346E43">
        <w:rPr>
          <w:rFonts w:ascii="Times New Roman" w:hAnsi="Times New Roman"/>
          <w:sz w:val="24"/>
          <w:szCs w:val="24"/>
        </w:rPr>
        <w:t>Насыпная плотность (т/м3) зависит от гранулометрического состава удобрений, размера и формы фракций, влажности, гигроскопичности, а также от давления вышележащих слоев (высоты штабеля, высоты бурта и т.п.).</w:t>
      </w:r>
    </w:p>
    <w:p w:rsidR="008772CD" w:rsidRPr="00E20F50" w:rsidRDefault="008772CD" w:rsidP="007435D7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b/>
          <w:sz w:val="24"/>
          <w:szCs w:val="24"/>
        </w:rPr>
        <w:t xml:space="preserve">3. </w:t>
      </w:r>
      <w:bookmarkEnd w:id="5"/>
      <w:r w:rsidRPr="00E20F50">
        <w:rPr>
          <w:rFonts w:ascii="Times New Roman" w:hAnsi="Times New Roman"/>
          <w:b/>
          <w:sz w:val="28"/>
          <w:szCs w:val="28"/>
        </w:rPr>
        <w:fldChar w:fldCharType="begin"/>
      </w:r>
      <w:r w:rsidRPr="00E20F50">
        <w:rPr>
          <w:rFonts w:ascii="Times New Roman" w:hAnsi="Times New Roman"/>
          <w:b/>
          <w:sz w:val="28"/>
          <w:szCs w:val="28"/>
        </w:rPr>
        <w:instrText xml:space="preserve"> HYPERLINK "http://greenfuture.ru/profile/Homa/%D0%A1%D0%BC%D0%B5%D0%B6%D0%BD%D1%8B%D0%B5%20%D0%BD%D0%B0%D1%83%D0%BA%D0%B8/%D0%9C%D0%B8%D0%BA%D1%80%D0%BE%D1%8D%D0%BB%D0%B5%D0%BC%D0%B5%D0%BD%D1%82%D1%8B%20%D0%B2%20%D0%BF%D0%BE%D1%87%D0%B2%D0%B0%D1%85%20%D0%B8%20%D0%B6%D0%B8%D0%B2%D1%8B%D1%85%20%D0%BE%D1%80%D0%B3%D0%B0%D0%BD%D0%B8%D0%B7%D0%BC%D0%B0%D1%85/" \l "id8" </w:instrText>
      </w:r>
      <w:r w:rsidRPr="009379BC">
        <w:rPr>
          <w:rFonts w:ascii="Times New Roman" w:hAnsi="Times New Roman"/>
          <w:b/>
          <w:sz w:val="28"/>
          <w:szCs w:val="28"/>
        </w:rPr>
      </w:r>
      <w:r w:rsidRPr="00E20F50">
        <w:rPr>
          <w:rFonts w:ascii="Times New Roman" w:hAnsi="Times New Roman"/>
          <w:b/>
          <w:sz w:val="28"/>
          <w:szCs w:val="28"/>
        </w:rPr>
        <w:fldChar w:fldCharType="separate"/>
      </w:r>
      <w:r w:rsidRPr="00E20F50">
        <w:rPr>
          <w:rFonts w:ascii="Times New Roman" w:hAnsi="Times New Roman"/>
          <w:b/>
          <w:sz w:val="28"/>
          <w:szCs w:val="28"/>
        </w:rPr>
        <w:t>Классификация</w:t>
      </w:r>
      <w:r w:rsidRPr="00E20F50">
        <w:rPr>
          <w:rFonts w:ascii="Times New Roman" w:hAnsi="Times New Roman"/>
          <w:b/>
          <w:sz w:val="28"/>
          <w:szCs w:val="28"/>
        </w:rPr>
        <w:fldChar w:fldCharType="end"/>
      </w:r>
      <w:r w:rsidRPr="00E20F50">
        <w:rPr>
          <w:rFonts w:ascii="Times New Roman" w:hAnsi="Times New Roman"/>
          <w:b/>
          <w:sz w:val="28"/>
          <w:szCs w:val="28"/>
        </w:rPr>
        <w:t xml:space="preserve"> удобрений</w:t>
      </w:r>
      <w:r w:rsidRPr="00E20F50">
        <w:rPr>
          <w:rFonts w:ascii="Times New Roman" w:hAnsi="Times New Roman"/>
          <w:sz w:val="24"/>
          <w:szCs w:val="24"/>
        </w:rPr>
        <w:t xml:space="preserve"> </w:t>
      </w:r>
    </w:p>
    <w:p w:rsidR="008772CD" w:rsidRPr="00E20F50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Различные удобрения имеют как общие свойства, так и специфические. Поэтому, изучение их свойств следует начинать с классификации. Классификация удобрений:</w:t>
      </w:r>
    </w:p>
    <w:p w:rsidR="008772CD" w:rsidRPr="00E20F50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3147"/>
        <w:gridCol w:w="7654"/>
      </w:tblGrid>
      <w:tr w:rsidR="008772CD" w:rsidRPr="00955DFE" w:rsidTr="00E20F50">
        <w:trPr>
          <w:cantSplit/>
        </w:trPr>
        <w:tc>
          <w:tcPr>
            <w:tcW w:w="31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по  химическому  составу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органические удобрения</w:t>
            </w:r>
          </w:p>
        </w:tc>
      </w:tr>
      <w:tr w:rsidR="008772CD" w:rsidRPr="00955DFE" w:rsidTr="00E20F50">
        <w:trPr>
          <w:cantSplit/>
        </w:trPr>
        <w:tc>
          <w:tcPr>
            <w:tcW w:w="3147" w:type="dxa"/>
            <w:vMerge/>
            <w:tcMar>
              <w:left w:w="28" w:type="dxa"/>
              <w:right w:w="28" w:type="dxa"/>
            </w:tcMar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tcMar>
              <w:left w:w="28" w:type="dxa"/>
              <w:right w:w="28" w:type="dxa"/>
            </w:tcMar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минеральные удобрения</w:t>
            </w:r>
          </w:p>
        </w:tc>
      </w:tr>
      <w:tr w:rsidR="008772CD" w:rsidRPr="00955DFE" w:rsidTr="00E20F50">
        <w:trPr>
          <w:cantSplit/>
        </w:trPr>
        <w:tc>
          <w:tcPr>
            <w:tcW w:w="3147" w:type="dxa"/>
            <w:vMerge/>
            <w:tcMar>
              <w:left w:w="28" w:type="dxa"/>
              <w:right w:w="28" w:type="dxa"/>
            </w:tcMar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tcMar>
              <w:left w:w="28" w:type="dxa"/>
              <w:right w:w="28" w:type="dxa"/>
            </w:tcMar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бактериальные препараты</w:t>
            </w:r>
          </w:p>
        </w:tc>
      </w:tr>
      <w:tr w:rsidR="008772CD" w:rsidRPr="00955DFE" w:rsidTr="00E20F50">
        <w:tc>
          <w:tcPr>
            <w:tcW w:w="3147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по  способу  производства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местные – навоз и его разновид-ности, торф, зола, фекалии, зеленые удобрения, отходы коммунального хозяйства городов и других населенных пунктов, бактериальные удобрения;</w:t>
            </w:r>
          </w:p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промышленные – азотные, фосфор-ные, калийные, комплексные удобрения, микроудобрения, бактериальные препараты;</w:t>
            </w:r>
          </w:p>
        </w:tc>
      </w:tr>
      <w:tr w:rsidR="008772CD" w:rsidRPr="00955DFE" w:rsidTr="00E20F50">
        <w:tc>
          <w:tcPr>
            <w:tcW w:w="3147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по составу и концентрации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простые – азотные, фосфорные, калийные, содержащие 70-80% балласта и один питательный элемент, микроудобрения;</w:t>
            </w:r>
          </w:p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комплексные – содержащие в своем составе два и больше питательных вещества, физиологически активных веществ – бесбалластные;</w:t>
            </w:r>
          </w:p>
        </w:tc>
      </w:tr>
      <w:tr w:rsidR="008772CD" w:rsidRPr="00955DFE" w:rsidTr="00E20F50">
        <w:tc>
          <w:tcPr>
            <w:tcW w:w="3147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по физическому состоянию</w:t>
            </w:r>
          </w:p>
        </w:tc>
        <w:tc>
          <w:tcPr>
            <w:tcW w:w="7654" w:type="dxa"/>
            <w:tcMar>
              <w:left w:w="28" w:type="dxa"/>
              <w:right w:w="28" w:type="dxa"/>
            </w:tcMar>
          </w:tcPr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>твердые - аморфные, кристалличес</w:t>
            </w:r>
            <w:r w:rsidRPr="00E20F50">
              <w:rPr>
                <w:rFonts w:ascii="Times New Roman" w:hAnsi="Times New Roman"/>
                <w:sz w:val="24"/>
                <w:szCs w:val="24"/>
              </w:rPr>
              <w:softHyphen/>
              <w:t>кие (мелко- или крупно-), гранулиро</w:t>
            </w:r>
            <w:r w:rsidRPr="00E20F50">
              <w:rPr>
                <w:rFonts w:ascii="Times New Roman" w:hAnsi="Times New Roman"/>
                <w:sz w:val="24"/>
                <w:szCs w:val="24"/>
              </w:rPr>
              <w:softHyphen/>
              <w:t>ванные (мелко- или крупно-);</w:t>
            </w:r>
          </w:p>
          <w:p w:rsidR="008772CD" w:rsidRPr="00E20F50" w:rsidRDefault="008772CD" w:rsidP="00346E43">
            <w:pPr>
              <w:pStyle w:val="a4"/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noBreakHyphen/>
              <w:t xml:space="preserve"> жидкие - растворы, суспензии.</w:t>
            </w:r>
          </w:p>
        </w:tc>
      </w:tr>
    </w:tbl>
    <w:p w:rsidR="008772CD" w:rsidRPr="00E20F50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p w:rsidR="008772CD" w:rsidRPr="00E20F50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Минеральные удобрения относятся к промышленным удобрениям прямого действия. Приводим их подробную классификацию (схема).</w:t>
      </w:r>
    </w:p>
    <w:p w:rsidR="008772CD" w:rsidRPr="00E20F50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По характеру влияния удобрения условно (нельзя провести строгой границы) подразделяют на удобрения прямые – вносимые для питания растений, содержащимися в них питательными элементами и косвенные – или опосредованные, влияющие на мобилизацию находящихся в почве питательных веществ (мелиоранты – известь, гипс и материалы их содержащие).</w:t>
      </w:r>
    </w:p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Наблюдаемое снижение применения минеральных удобрений в Российской Федерации (млн. т. д.в.): 1986-1990 гг. (среднее) – 13,1, 1995 г. – 1,51, 1996 г. – 1,58 (Федеральная программа по повыше</w:t>
      </w:r>
      <w:r w:rsidRPr="00E20F50">
        <w:rPr>
          <w:rFonts w:ascii="Times New Roman" w:hAnsi="Times New Roman"/>
          <w:sz w:val="24"/>
          <w:szCs w:val="24"/>
        </w:rPr>
        <w:softHyphen/>
        <w:t>нию плодородия почвы и приравненная к ней на 1996-2000 гг., предусматривавшая внесение к 2000 г. 18-20 млн. т NPK – сорвана), 2002 г. – 2,5, 2003 г – 3,2, 2004 г. – 4,0, 2005 г. – 5,0, соп</w:t>
      </w:r>
      <w:r w:rsidRPr="00E20F50">
        <w:rPr>
          <w:rFonts w:ascii="Times New Roman" w:hAnsi="Times New Roman"/>
          <w:sz w:val="24"/>
          <w:szCs w:val="24"/>
        </w:rPr>
        <w:softHyphen/>
        <w:t>ровождается уменьшением выпуска концентрированных как простых (особенно фосфорных и азотных), так и концентрирован</w:t>
      </w:r>
      <w:r w:rsidRPr="00E20F50">
        <w:rPr>
          <w:rFonts w:ascii="Times New Roman" w:hAnsi="Times New Roman"/>
          <w:sz w:val="24"/>
          <w:szCs w:val="24"/>
        </w:rPr>
        <w:softHyphen/>
        <w:t>ных комплексных удобрений:</w:t>
      </w:r>
    </w:p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6407"/>
        <w:gridCol w:w="1559"/>
        <w:gridCol w:w="1560"/>
        <w:gridCol w:w="1275"/>
      </w:tblGrid>
      <w:tr w:rsidR="008772CD" w:rsidRPr="00955DFE" w:rsidTr="00E20F50">
        <w:tc>
          <w:tcPr>
            <w:tcW w:w="6407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8772CD" w:rsidRPr="00955DFE" w:rsidTr="00E20F50">
        <w:tc>
          <w:tcPr>
            <w:tcW w:w="6407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Концентрация питательных веществ в удобрениях, %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E20F5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В то же время Франция производила удобрения с содержанием 37,7% питательных веществ, Финляндия – 41,7%, США – 45,4, Канада – 54,6%. Есть над чем призадуматься!</w:t>
      </w:r>
    </w:p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Перспективно создание концентрированных форм азотных удобрений (87,5% д.в.), а также удобрений питательные вещества которых и, в первую очередь, азот, не терялись бы из почвы и постепенно усваивались бы растениями. Определенное значение могут приобрести ультраконцентрированные удобрения на основе элементарного фосфора и амидов фосфора, а также нитридов фосфора, в которых сумма азота и фосфора достигала бы 120-150%.</w:t>
      </w:r>
    </w:p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Вызывает беспокойство с экологической точки зрения концентрация тяжелых металлов в минеральных и органических удобрениях (г/т действующего вещества):</w:t>
      </w:r>
    </w:p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1522"/>
        <w:gridCol w:w="1855"/>
        <w:gridCol w:w="1856"/>
        <w:gridCol w:w="1856"/>
        <w:gridCol w:w="1856"/>
        <w:gridCol w:w="1856"/>
      </w:tblGrid>
      <w:tr w:rsidR="008772CD" w:rsidRPr="00955DFE" w:rsidTr="00E20F50">
        <w:trPr>
          <w:cantSplit/>
        </w:trPr>
        <w:tc>
          <w:tcPr>
            <w:tcW w:w="152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Элемент</w:t>
            </w:r>
          </w:p>
        </w:tc>
        <w:tc>
          <w:tcPr>
            <w:tcW w:w="9279" w:type="dxa"/>
            <w:gridSpan w:val="5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Удобрения</w:t>
            </w:r>
          </w:p>
        </w:tc>
      </w:tr>
      <w:tr w:rsidR="008772CD" w:rsidRPr="00955DFE" w:rsidTr="00E20F50">
        <w:trPr>
          <w:cantSplit/>
        </w:trPr>
        <w:tc>
          <w:tcPr>
            <w:tcW w:w="1522" w:type="dxa"/>
            <w:vMerge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азотные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фосфорные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калийные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органические</w:t>
            </w:r>
          </w:p>
        </w:tc>
      </w:tr>
      <w:tr w:rsidR="008772CD" w:rsidRPr="00955DFE" w:rsidTr="00E20F50">
        <w:tc>
          <w:tcPr>
            <w:tcW w:w="1522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Сu</w:t>
            </w:r>
          </w:p>
        </w:tc>
        <w:tc>
          <w:tcPr>
            <w:tcW w:w="185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8772CD" w:rsidRPr="00955DFE" w:rsidTr="00E20F50">
        <w:tc>
          <w:tcPr>
            <w:tcW w:w="1522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Zn</w:t>
            </w:r>
          </w:p>
        </w:tc>
        <w:tc>
          <w:tcPr>
            <w:tcW w:w="185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8772CD" w:rsidRPr="00955DFE" w:rsidTr="00E20F50">
        <w:tc>
          <w:tcPr>
            <w:tcW w:w="1522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185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1,23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D" w:rsidRPr="00955DFE" w:rsidTr="00E20F50">
        <w:tc>
          <w:tcPr>
            <w:tcW w:w="1522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Pb</w:t>
            </w:r>
          </w:p>
        </w:tc>
        <w:tc>
          <w:tcPr>
            <w:tcW w:w="185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D" w:rsidRPr="00955DFE" w:rsidTr="00E20F50">
        <w:tc>
          <w:tcPr>
            <w:tcW w:w="1522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185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6,83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2CD" w:rsidRPr="00955DFE" w:rsidTr="00E20F50">
        <w:tc>
          <w:tcPr>
            <w:tcW w:w="1522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Cr</w:t>
            </w:r>
          </w:p>
        </w:tc>
        <w:tc>
          <w:tcPr>
            <w:tcW w:w="1855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F5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56" w:type="dxa"/>
            <w:tcMar>
              <w:left w:w="28" w:type="dxa"/>
              <w:right w:w="28" w:type="dxa"/>
            </w:tcMar>
            <w:vAlign w:val="center"/>
          </w:tcPr>
          <w:p w:rsidR="008772CD" w:rsidRPr="00E20F50" w:rsidRDefault="008772CD" w:rsidP="00E20F50">
            <w:pPr>
              <w:pStyle w:val="a4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Органические удобрения подразделяются на виды по происхождению и производству, видам скота или птицы, способу содержания и кормления их, способу подготовки, степени разложения удобрения.</w:t>
      </w:r>
    </w:p>
    <w:p w:rsidR="008772CD" w:rsidRPr="00E20F50" w:rsidRDefault="008772CD" w:rsidP="00E20F50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  <w:r w:rsidRPr="00E20F50">
        <w:rPr>
          <w:rFonts w:ascii="Times New Roman" w:hAnsi="Times New Roman"/>
          <w:sz w:val="24"/>
          <w:szCs w:val="24"/>
        </w:rPr>
        <w:t>Ответственность за научно-обоснованное и эффективное использование удобрений, средств защиты растений, ростовых веществ в России и субъектах Федерации возложена на ныне действующую агрохимическую службу.</w:t>
      </w:r>
    </w:p>
    <w:p w:rsidR="008772CD" w:rsidRPr="00E20F50" w:rsidRDefault="008772CD" w:rsidP="00346E43">
      <w:pPr>
        <w:pStyle w:val="a4"/>
        <w:widowControl w:val="0"/>
        <w:shd w:val="clear" w:color="auto" w:fill="FFFFFF"/>
        <w:ind w:firstLine="720"/>
        <w:rPr>
          <w:rFonts w:ascii="Times New Roman" w:hAnsi="Times New Roman"/>
          <w:sz w:val="24"/>
          <w:szCs w:val="24"/>
        </w:rPr>
      </w:pPr>
    </w:p>
    <w:sectPr w:rsidR="008772CD" w:rsidRPr="00E20F50" w:rsidSect="005260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0ECF"/>
    <w:multiLevelType w:val="singleLevel"/>
    <w:tmpl w:val="BAAC065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>
    <w:nsid w:val="0AA80DAD"/>
    <w:multiLevelType w:val="hybridMultilevel"/>
    <w:tmpl w:val="A42EE420"/>
    <w:lvl w:ilvl="0" w:tplc="152A68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4FB"/>
    <w:multiLevelType w:val="hybridMultilevel"/>
    <w:tmpl w:val="7CAC41C0"/>
    <w:lvl w:ilvl="0" w:tplc="B6988B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231DC"/>
    <w:multiLevelType w:val="hybridMultilevel"/>
    <w:tmpl w:val="5A9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D2F8A"/>
    <w:multiLevelType w:val="hybridMultilevel"/>
    <w:tmpl w:val="2CE6BDC0"/>
    <w:lvl w:ilvl="0" w:tplc="73620586">
      <w:start w:val="5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5">
    <w:nsid w:val="1B1D4F5E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6">
    <w:nsid w:val="35316629"/>
    <w:multiLevelType w:val="hybridMultilevel"/>
    <w:tmpl w:val="DFE2853A"/>
    <w:lvl w:ilvl="0" w:tplc="9F04E7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BAA263D"/>
    <w:multiLevelType w:val="hybridMultilevel"/>
    <w:tmpl w:val="8196E5EE"/>
    <w:lvl w:ilvl="0" w:tplc="11C633EE">
      <w:start w:val="17"/>
      <w:numFmt w:val="bullet"/>
      <w:lvlText w:val="-"/>
      <w:lvlJc w:val="left"/>
      <w:pPr>
        <w:tabs>
          <w:tab w:val="num" w:pos="952"/>
        </w:tabs>
        <w:ind w:left="952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8">
    <w:nsid w:val="3C1B09E5"/>
    <w:multiLevelType w:val="singleLevel"/>
    <w:tmpl w:val="02E6B1B2"/>
    <w:lvl w:ilvl="0">
      <w:start w:val="1"/>
      <w:numFmt w:val="decimal"/>
      <w:lvlText w:val="%1"/>
      <w:legacy w:legacy="1" w:legacySpace="0" w:legacyIndent="154"/>
      <w:lvlJc w:val="left"/>
      <w:rPr>
        <w:rFonts w:ascii="Times New Roman" w:hAnsi="Times New Roman" w:cs="Times New Roman" w:hint="default"/>
      </w:rPr>
    </w:lvl>
  </w:abstractNum>
  <w:abstractNum w:abstractNumId="9">
    <w:nsid w:val="3CF95CA6"/>
    <w:multiLevelType w:val="multilevel"/>
    <w:tmpl w:val="82CEAA7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2FC460A"/>
    <w:multiLevelType w:val="hybridMultilevel"/>
    <w:tmpl w:val="112AC4A4"/>
    <w:lvl w:ilvl="0" w:tplc="C48EF7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4D7719A"/>
    <w:multiLevelType w:val="multilevel"/>
    <w:tmpl w:val="08D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DB7D3B"/>
    <w:multiLevelType w:val="singleLevel"/>
    <w:tmpl w:val="299CB11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13">
    <w:nsid w:val="7D7721D8"/>
    <w:multiLevelType w:val="singleLevel"/>
    <w:tmpl w:val="158E520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3"/>
  </w:num>
  <w:num w:numId="6">
    <w:abstractNumId w:val="12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5A2"/>
    <w:rsid w:val="00020D8E"/>
    <w:rsid w:val="0003280D"/>
    <w:rsid w:val="00040B81"/>
    <w:rsid w:val="000760C8"/>
    <w:rsid w:val="00091942"/>
    <w:rsid w:val="000970A0"/>
    <w:rsid w:val="000A5CEE"/>
    <w:rsid w:val="001375B4"/>
    <w:rsid w:val="00147498"/>
    <w:rsid w:val="001736BE"/>
    <w:rsid w:val="001921C1"/>
    <w:rsid w:val="001A13C9"/>
    <w:rsid w:val="001E2A88"/>
    <w:rsid w:val="001F35D3"/>
    <w:rsid w:val="00206480"/>
    <w:rsid w:val="002148B7"/>
    <w:rsid w:val="00242A0A"/>
    <w:rsid w:val="00253056"/>
    <w:rsid w:val="00262804"/>
    <w:rsid w:val="00284C20"/>
    <w:rsid w:val="00286669"/>
    <w:rsid w:val="002867C0"/>
    <w:rsid w:val="002E280E"/>
    <w:rsid w:val="002F7834"/>
    <w:rsid w:val="00334697"/>
    <w:rsid w:val="00334C65"/>
    <w:rsid w:val="003363F6"/>
    <w:rsid w:val="00346980"/>
    <w:rsid w:val="00346E43"/>
    <w:rsid w:val="00381ED7"/>
    <w:rsid w:val="003C029C"/>
    <w:rsid w:val="00402AE8"/>
    <w:rsid w:val="00427DA5"/>
    <w:rsid w:val="00433874"/>
    <w:rsid w:val="00453CCC"/>
    <w:rsid w:val="00460E9D"/>
    <w:rsid w:val="004B48CF"/>
    <w:rsid w:val="004B51BF"/>
    <w:rsid w:val="004E6103"/>
    <w:rsid w:val="00503F2A"/>
    <w:rsid w:val="0052369A"/>
    <w:rsid w:val="005260AB"/>
    <w:rsid w:val="00544747"/>
    <w:rsid w:val="005741CF"/>
    <w:rsid w:val="005C692C"/>
    <w:rsid w:val="005C7F47"/>
    <w:rsid w:val="005F4257"/>
    <w:rsid w:val="00620D74"/>
    <w:rsid w:val="0065390B"/>
    <w:rsid w:val="006A7DFE"/>
    <w:rsid w:val="006E627B"/>
    <w:rsid w:val="00720FF4"/>
    <w:rsid w:val="007435D7"/>
    <w:rsid w:val="00761B78"/>
    <w:rsid w:val="0077113F"/>
    <w:rsid w:val="00795145"/>
    <w:rsid w:val="007D3894"/>
    <w:rsid w:val="007E7CF5"/>
    <w:rsid w:val="00803E16"/>
    <w:rsid w:val="00815EC1"/>
    <w:rsid w:val="00851F90"/>
    <w:rsid w:val="008530E9"/>
    <w:rsid w:val="00860E7C"/>
    <w:rsid w:val="00874217"/>
    <w:rsid w:val="008772CD"/>
    <w:rsid w:val="008802EF"/>
    <w:rsid w:val="008A4DFD"/>
    <w:rsid w:val="008F06D0"/>
    <w:rsid w:val="009122DA"/>
    <w:rsid w:val="00916571"/>
    <w:rsid w:val="00932878"/>
    <w:rsid w:val="009379BC"/>
    <w:rsid w:val="00955DFE"/>
    <w:rsid w:val="00962B67"/>
    <w:rsid w:val="0097752D"/>
    <w:rsid w:val="00997BF9"/>
    <w:rsid w:val="009B16AE"/>
    <w:rsid w:val="009B53E6"/>
    <w:rsid w:val="009E4FBB"/>
    <w:rsid w:val="009E65A2"/>
    <w:rsid w:val="009F3DA9"/>
    <w:rsid w:val="00A035C4"/>
    <w:rsid w:val="00A05D0C"/>
    <w:rsid w:val="00A55C6C"/>
    <w:rsid w:val="00A828A9"/>
    <w:rsid w:val="00A95782"/>
    <w:rsid w:val="00AA4EA4"/>
    <w:rsid w:val="00AB56C8"/>
    <w:rsid w:val="00AE72C6"/>
    <w:rsid w:val="00B33774"/>
    <w:rsid w:val="00B346F0"/>
    <w:rsid w:val="00B83916"/>
    <w:rsid w:val="00BA08F0"/>
    <w:rsid w:val="00BA7F87"/>
    <w:rsid w:val="00BF6029"/>
    <w:rsid w:val="00C508BD"/>
    <w:rsid w:val="00C6644C"/>
    <w:rsid w:val="00CD026A"/>
    <w:rsid w:val="00CF0C5B"/>
    <w:rsid w:val="00CF358D"/>
    <w:rsid w:val="00D1164B"/>
    <w:rsid w:val="00D46557"/>
    <w:rsid w:val="00D47E86"/>
    <w:rsid w:val="00D518D1"/>
    <w:rsid w:val="00D8595D"/>
    <w:rsid w:val="00D97DA0"/>
    <w:rsid w:val="00DF5043"/>
    <w:rsid w:val="00E20F50"/>
    <w:rsid w:val="00E70C34"/>
    <w:rsid w:val="00EC7D4F"/>
    <w:rsid w:val="00EE1D5C"/>
    <w:rsid w:val="00F02833"/>
    <w:rsid w:val="00F3547C"/>
    <w:rsid w:val="00F540C9"/>
    <w:rsid w:val="00F57556"/>
    <w:rsid w:val="00F67A03"/>
    <w:rsid w:val="00F95847"/>
    <w:rsid w:val="00FA393C"/>
    <w:rsid w:val="00FB5E0E"/>
    <w:rsid w:val="00FF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F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E65A2"/>
    <w:pPr>
      <w:keepNext/>
      <w:pageBreakBefore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65A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752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36B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36B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5A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65A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7752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36BE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736B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0">
    <w:name w:val="_ТАБ_НАИМЕН_"/>
    <w:basedOn w:val="Normal"/>
    <w:uiPriority w:val="99"/>
    <w:rsid w:val="009E65A2"/>
    <w:pPr>
      <w:spacing w:before="120" w:after="12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a1">
    <w:name w:val="_ТАБ_ШАПКА_"/>
    <w:basedOn w:val="Normal"/>
    <w:uiPriority w:val="99"/>
    <w:rsid w:val="009E65A2"/>
    <w:pPr>
      <w:spacing w:after="0" w:line="240" w:lineRule="auto"/>
      <w:jc w:val="center"/>
    </w:pPr>
    <w:rPr>
      <w:rFonts w:ascii="Times New Roman" w:hAnsi="Times New Roman"/>
      <w:szCs w:val="20"/>
    </w:rPr>
  </w:style>
  <w:style w:type="paragraph" w:customStyle="1" w:styleId="a2">
    <w:name w:val="_ТАБ_НОМЕР_"/>
    <w:basedOn w:val="Normal"/>
    <w:next w:val="a0"/>
    <w:uiPriority w:val="99"/>
    <w:rsid w:val="009E65A2"/>
    <w:pPr>
      <w:spacing w:before="120" w:after="120" w:line="240" w:lineRule="auto"/>
      <w:jc w:val="right"/>
    </w:pPr>
    <w:rPr>
      <w:rFonts w:ascii="Times New Roman" w:hAnsi="Times New Roman"/>
      <w:b/>
      <w:sz w:val="24"/>
      <w:szCs w:val="20"/>
    </w:rPr>
  </w:style>
  <w:style w:type="paragraph" w:customStyle="1" w:styleId="a">
    <w:name w:val="_ТАБ_ТЕКСТ_"/>
    <w:basedOn w:val="Normal"/>
    <w:uiPriority w:val="99"/>
    <w:rsid w:val="009E65A2"/>
    <w:pPr>
      <w:numPr>
        <w:numId w:val="1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Cs w:val="20"/>
    </w:rPr>
  </w:style>
  <w:style w:type="paragraph" w:customStyle="1" w:styleId="a3">
    <w:name w:val="_СПИСОК_"/>
    <w:basedOn w:val="Normal"/>
    <w:uiPriority w:val="99"/>
    <w:rsid w:val="009E65A2"/>
    <w:pPr>
      <w:tabs>
        <w:tab w:val="num" w:pos="720"/>
      </w:tabs>
      <w:spacing w:after="0" w:line="240" w:lineRule="auto"/>
      <w:ind w:left="720" w:hanging="360"/>
      <w:jc w:val="both"/>
    </w:pPr>
    <w:rPr>
      <w:rFonts w:ascii="Bookman Old Style" w:hAnsi="Bookman Old Style"/>
      <w:sz w:val="26"/>
      <w:szCs w:val="20"/>
    </w:rPr>
  </w:style>
  <w:style w:type="paragraph" w:customStyle="1" w:styleId="a4">
    <w:name w:val="_АБЗАЦ_КНИГИ_"/>
    <w:basedOn w:val="Normal"/>
    <w:uiPriority w:val="99"/>
    <w:rsid w:val="009E65A2"/>
    <w:pPr>
      <w:spacing w:after="0" w:line="240" w:lineRule="auto"/>
      <w:ind w:firstLine="397"/>
      <w:jc w:val="both"/>
    </w:pPr>
    <w:rPr>
      <w:rFonts w:ascii="Bookman Old Style" w:hAnsi="Bookman Old Style"/>
      <w:sz w:val="26"/>
      <w:szCs w:val="20"/>
    </w:rPr>
  </w:style>
  <w:style w:type="paragraph" w:styleId="ListParagraph">
    <w:name w:val="List Paragraph"/>
    <w:basedOn w:val="Normal"/>
    <w:uiPriority w:val="99"/>
    <w:qFormat/>
    <w:rsid w:val="009E65A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916571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16571"/>
    <w:rPr>
      <w:rFonts w:ascii="Times New Roman" w:hAnsi="Times New Roman" w:cs="Times New Roman"/>
      <w:sz w:val="20"/>
      <w:szCs w:val="20"/>
    </w:rPr>
  </w:style>
  <w:style w:type="character" w:customStyle="1" w:styleId="butback">
    <w:name w:val="butback"/>
    <w:basedOn w:val="DefaultParagraphFont"/>
    <w:uiPriority w:val="99"/>
    <w:rsid w:val="001F35D3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1F35D3"/>
    <w:rPr>
      <w:rFonts w:cs="Times New Roman"/>
    </w:rPr>
  </w:style>
  <w:style w:type="paragraph" w:styleId="NormalWeb">
    <w:name w:val="Normal (Web)"/>
    <w:basedOn w:val="Normal"/>
    <w:uiPriority w:val="99"/>
    <w:rsid w:val="009775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7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52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8">
    <w:name w:val="Style8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0">
    <w:name w:val="Style10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1">
    <w:name w:val="Style31"/>
    <w:basedOn w:val="Normal"/>
    <w:uiPriority w:val="99"/>
    <w:rsid w:val="009B16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9B16AE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9B16AE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DefaultParagraphFont"/>
    <w:uiPriority w:val="99"/>
    <w:rsid w:val="009B16A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DefaultParagraphFont"/>
    <w:uiPriority w:val="99"/>
    <w:rsid w:val="009B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DefaultParagraphFont"/>
    <w:uiPriority w:val="99"/>
    <w:rsid w:val="009B16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1375B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60E9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60E9D"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1736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736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53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eenfuture.ru/profile/Homa/%D0%A1%D0%BC%D0%B5%D0%B6%D0%BD%D1%8B%D0%B5%20%D0%BD%D0%B0%D1%83%D0%BA%D0%B8/%D0%9C%D0%B8%D0%BA%D1%80%D0%BE%D1%8D%D0%BB%D0%B5%D0%BC%D0%B5%D0%BD%D1%82%D1%8B%20%D0%B2%20%D0%BF%D0%BE%D1%87%D0%B2%D0%B0%D1%85%20%D0%B8%20%D0%B6%D0%B8%D0%B2%D1%8B%D1%85%20%D0%BE%D1%80%D0%B3%D0%B0%D0%BD%D0%B8%D0%B7%D0%BC%D0%B0%D1%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917</TotalTime>
  <Pages>3</Pages>
  <Words>1764</Words>
  <Characters>10056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Агрохимия</cp:lastModifiedBy>
  <cp:revision>23</cp:revision>
  <cp:lastPrinted>2004-01-01T04:48:00Z</cp:lastPrinted>
  <dcterms:created xsi:type="dcterms:W3CDTF">2013-03-27T08:47:00Z</dcterms:created>
  <dcterms:modified xsi:type="dcterms:W3CDTF">2013-04-03T12:44:00Z</dcterms:modified>
</cp:coreProperties>
</file>